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262B" w:rsidRPr="009D262B">
        <w:trPr>
          <w:trHeight w:val="8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262B" w:rsidRPr="008F5306" w:rsidRDefault="009D262B" w:rsidP="00D173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8F5306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关于</w:t>
            </w:r>
            <w:r w:rsidRPr="008F530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福建省测试技术研究所</w:t>
            </w:r>
            <w:r w:rsidR="005E7E70" w:rsidRPr="008F530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实验</w:t>
            </w:r>
            <w:r w:rsidR="00DB297E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室化玻试剂</w:t>
            </w:r>
            <w:r w:rsidR="00D17385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年度</w:t>
            </w:r>
            <w:r w:rsidRPr="008F5306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采购项目的询价公告</w:t>
            </w:r>
          </w:p>
        </w:tc>
      </w:tr>
      <w:tr w:rsidR="009D262B" w:rsidRPr="009D262B">
        <w:trPr>
          <w:trHeight w:val="7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5"/>
            </w:tblGrid>
            <w:tr w:rsidR="009D262B" w:rsidRPr="009D262B">
              <w:trPr>
                <w:trHeight w:val="211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 </w:t>
                  </w:r>
                </w:p>
                <w:p w:rsidR="009D262B" w:rsidRPr="009D262B" w:rsidRDefault="006612F7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 w:rsidR="009D262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福建省测试技术研究所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采用公开询价采购方式组织实施本次服务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项目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的采购，现邀请合格的供应商参与报价。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一、询价邀请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．询价编号：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8F5306">
                    <w:rPr>
                      <w:rFonts w:hint="eastAsia"/>
                    </w:rPr>
                    <w:t>FJCS</w:t>
                  </w:r>
                  <w:r w:rsidR="00610DC7">
                    <w:rPr>
                      <w:rFonts w:hint="eastAsia"/>
                    </w:rPr>
                    <w:t>-YWK-</w:t>
                  </w:r>
                  <w:r w:rsidR="008F5306">
                    <w:rPr>
                      <w:rFonts w:hint="eastAsia"/>
                    </w:rPr>
                    <w:t>20</w:t>
                  </w:r>
                  <w:r w:rsidR="002D401A">
                    <w:rPr>
                      <w:rFonts w:hint="eastAsia"/>
                    </w:rPr>
                    <w:t>21</w:t>
                  </w:r>
                  <w:r w:rsidR="008F5306">
                    <w:rPr>
                      <w:rFonts w:hint="eastAsia"/>
                    </w:rPr>
                    <w:t>030</w:t>
                  </w:r>
                  <w:r w:rsidR="00DB297E">
                    <w:rPr>
                      <w:rFonts w:hint="eastAsia"/>
                    </w:rPr>
                    <w:t>2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．询价采购服务名称、数量及主要技术要求详见“询价采购服务一览表”。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．询价文件送达时间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: 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-20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8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日工作日</w:t>
                  </w:r>
                  <w:r w:rsidR="005F5A0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上午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点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---9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点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分（北京时间）。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．报价文件应一式两份，采用密封的形式，并在密封面注明询价编号、供应商名称、电话、时间等，同时在各密封处加盖公章，要求在截止日期前送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达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所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，可邮寄，送达时间以实际收件时间计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。未按此要求的，将被视为无效报价文件。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．联系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方式：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业务科：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联系人：唐先生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赵</w:t>
                  </w:r>
                  <w:r w:rsidR="005F5A0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先生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地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址：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福州市北环中路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61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号福建省测试技术研究所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电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话：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0591-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87847386</w:t>
                  </w:r>
                  <w:r w:rsidR="005F5A0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、87814856</w:t>
                  </w:r>
                </w:p>
                <w:p w:rsidR="008F5306" w:rsidRPr="009D262B" w:rsidRDefault="008F5306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二、询价采购服务一览表：</w:t>
                  </w:r>
                </w:p>
                <w:p w:rsidR="002E1EA0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10240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"/>
                    <w:gridCol w:w="1920"/>
                    <w:gridCol w:w="3600"/>
                    <w:gridCol w:w="1300"/>
                    <w:gridCol w:w="1080"/>
                    <w:gridCol w:w="1680"/>
                  </w:tblGrid>
                  <w:tr w:rsidR="002E1EA0" w:rsidRPr="002E1EA0" w:rsidTr="005F5A02">
                    <w:trPr>
                      <w:cantSplit/>
                      <w:trHeight w:val="1260"/>
                      <w:tblHeader/>
                    </w:trPr>
                    <w:tc>
                      <w:tcPr>
                        <w:tcW w:w="66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类别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品名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规格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单位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E1EA0" w:rsidRPr="002E1EA0" w:rsidRDefault="002E1EA0" w:rsidP="005F5A02">
                        <w:pPr>
                          <w:widowControl/>
                          <w:spacing w:line="0" w:lineRule="atLeast"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品牌</w:t>
                        </w: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br/>
                          <w:t>(未指定品牌产品以我方现场收合格为准)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CR药勺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PH电极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E-201-C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PH电极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PHS-3E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PH试纸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0.5-5.0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本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PH试纸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3.8-5.4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本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PH试纸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5.4-7.0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本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白大口瓶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有机比色管架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kern w:val="0"/>
                            <w:sz w:val="24"/>
                            <w:szCs w:val="24"/>
                          </w:rPr>
                          <w:t>50ml/12孔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标短漏斗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标短漏斗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7.5cm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瓷坩埚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滴瓶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电子秒表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台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定量滤纸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12.5cm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合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定量滤纸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盒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定性滤纸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12.5CM 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盒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氟电极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201-1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高型烧杯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红皮头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蝴蝶夹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机械秒表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碱式滴定管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具塞比色管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 6*1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组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具塞三角烧瓶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刻度滴管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刻度吸管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31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梨形分液漏斗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量筒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量筒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量筒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量筒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具塞刻度试管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牛角药勺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天玻（无货）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胖肚吸管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根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培养皿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付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气体采样管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6*120mm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合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北京劳保所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枪头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0.1ml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包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53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容量瓶（棕）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天玻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三角烧瓶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69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烧杯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蜀牛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石英比色皿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石英比色皿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75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石英比色皿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塑料试管架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塑料试管架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酸式滴定管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弯颈漏斗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个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无粉手套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盒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无勾镊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12.5CM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牙科镊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16CM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支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一次性滴管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包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载玻片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盒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化玻等辅助材料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蒸馏器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套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2.4二硝基苯酚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95%乙醇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正己烷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氨水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丙酮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对苯二甲酸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99% 100g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对硝基苯甲酸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100gCP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二硫化碳（无苯）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GC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天津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二乙三胺五乙酸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高氯酸（国药）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500mlGR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高氯酸（天津）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500mlGR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天津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97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高锰酸钾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硅藻土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1KG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99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过硫酸钾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250g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默克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环己烷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甲苯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甲醇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甲醇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默克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甲醛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酒石酸钾钠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卡尔费休试剂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抗坏血酸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100gAR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邻苯二胺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100gCP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磷酸二氢钾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硫酸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硫酸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GR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硫酸铵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钼酸铵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偏磷酸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氢氧化钾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三氯甲烷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三乙醇胺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118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石油醚(60-90)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119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双氧水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水质药剂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NHP600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套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碳酸氢钠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无水硫酸钠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无水乙醇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无水乙酸钠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硝酸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硝酸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GR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127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亚硫酸钠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128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盐酸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129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盐酸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GR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130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乙腈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默克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131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乙醚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132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乙酸铵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133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乙酸钠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500g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134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乙酰丙酮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 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135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异辛烷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500mlAR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国药</w:t>
                        </w:r>
                      </w:p>
                    </w:tc>
                  </w:tr>
                  <w:tr w:rsidR="002E1EA0" w:rsidRPr="002E1EA0" w:rsidTr="005F5A02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315"/>
                    </w:trPr>
                    <w:tc>
                      <w:tcPr>
                        <w:tcW w:w="66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136</w:t>
                        </w:r>
                      </w:p>
                    </w:tc>
                    <w:tc>
                      <w:tcPr>
                        <w:tcW w:w="192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试剂</w:t>
                        </w:r>
                      </w:p>
                    </w:tc>
                    <w:tc>
                      <w:tcPr>
                        <w:tcW w:w="36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正己烷</w:t>
                        </w:r>
                      </w:p>
                    </w:tc>
                    <w:tc>
                      <w:tcPr>
                        <w:tcW w:w="130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4L</w:t>
                        </w:r>
                      </w:p>
                    </w:tc>
                    <w:tc>
                      <w:tcPr>
                        <w:tcW w:w="10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1680" w:type="dxa"/>
                        <w:shd w:val="clear" w:color="auto" w:fill="auto"/>
                        <w:vAlign w:val="center"/>
                        <w:hideMark/>
                      </w:tcPr>
                      <w:p w:rsidR="002E1EA0" w:rsidRPr="002E1EA0" w:rsidRDefault="002E1EA0" w:rsidP="002E1EA0">
                        <w:pPr>
                          <w:widowControl/>
                          <w:jc w:val="center"/>
                          <w:rPr>
                            <w:rFonts w:ascii="等线" w:eastAsia="等线" w:hAnsi="等线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2E1EA0">
                          <w:rPr>
                            <w:rFonts w:ascii="等线" w:eastAsia="等线" w:hAnsi="等线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默克</w:t>
                        </w:r>
                      </w:p>
                    </w:tc>
                  </w:tr>
                </w:tbl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9D262B" w:rsidRPr="009D262B" w:rsidRDefault="00D17385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三、</w:t>
                  </w:r>
                  <w:r w:rsidR="009B6E0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服务条款</w:t>
                  </w:r>
                  <w:r w:rsidR="00820AF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AB2CFB" w:rsidRPr="00AB2CFB" w:rsidRDefault="0015430D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39" w:firstLineChars="0" w:hanging="39"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本项目合同执行期为合同生效之日起至</w:t>
                  </w:r>
                  <w:r w:rsidRPr="00AB2CF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31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日，合同期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满视供应商服务情况可续签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一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AB2CFB" w:rsidRDefault="00C66FF2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0"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我方保留</w:t>
                  </w:r>
                  <w:r w:rsidR="0015430D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因政策因素或其他原因中途终止服务合约的权利，我方不</w:t>
                  </w:r>
                  <w:r w:rsidR="009D262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对此行为承担责任，亦无义务向报价人解释其原因。</w:t>
                  </w:r>
                </w:p>
                <w:p w:rsidR="009D262B" w:rsidRPr="009D262B" w:rsidRDefault="00AB2CF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lastRenderedPageBreak/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、本次询价项目签订固定单价合同，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合同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仅为结算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价格依据，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具体采购数量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及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采购人每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次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实际使用量为准，</w:t>
                  </w:r>
                  <w:r w:rsidR="00392C9C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本次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询价产品可能在本年度不产生交易，报价人应充分考虑价格波动及运输成本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等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因素，成交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供应商应在收到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采购人通知之日起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三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天内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送达指定实验室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4、</w:t>
                  </w:r>
                  <w:r w:rsidR="00AB2CF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产品应符合国家相关标准及我采购文件技术要求</w:t>
                  </w:r>
                  <w:r w:rsidR="00D173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并保留相关证明材料备查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我方有权随时要求供应方提供相关证明材料，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在合同签订后采取分次分批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方有权根据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需要对采购合同中的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技术要求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作调整。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违约责任：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成交供应商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迟延提供服务时，每延迟一日付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当次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总价款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百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分之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违约金，质量不合格的应全部予以更换，造成迟延服务的应支付违约金。更换的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还不能满足需方要求的，需方有权要求退货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如因供应方产品未达技术要求造成的损失包括仪器维修费用、样品延期违约责任等损失，我方有权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向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供应方追偿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其余的违约情况按《中华人民共和国合同法》有关规定处理。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、结算：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经验收合格后，报价人开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发票结算，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在收到发票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个工作日内付清。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  <w:r w:rsidR="009B2B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若出现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质量问题，报价人接到通知后半小时内应给予答复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并在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24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个小时内到达现场处理。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、报价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．报价人企业需提供企业法人营业执照三证合一复印件、资质证书复印件（以上文件均需加盖公章），以上原件待询价人需要时备查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．报价人应遵守相关法规，若报价人违反规定，依照违规情节将其列入违规供应商名单，停止其一个月以上、三年以内的报价资格。</w:t>
                  </w:r>
                </w:p>
                <w:p w:rsidR="009D262B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．其它要求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）报价人应根据询价文件的技术服务要求条款，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报价文件中详细说明所提供服务，承诺质量保证期。</w:t>
                  </w:r>
                </w:p>
                <w:p w:rsidR="009B6E08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）报价应按附件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统一报价格式文件进行填写。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）上述技术规格及要求中所发生的一切费用均包含在报价价格中。</w:t>
                  </w:r>
                </w:p>
                <w:p w:rsidR="009D262B" w:rsidRPr="009D262B" w:rsidRDefault="00820AF0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、签订合同、交货时间、交货地点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在通知成交后，根据采购人要求在规定时间内签订合同，并按合同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分批送达我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方指定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实验室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七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、询价结果确认及公告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确定成交供应商后五个工作日内，成交结果将以电话形式通知成交供应商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，未入选供应商不予通知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附：统一报价格式文件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755EF4" w:rsidRDefault="00755EF4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福建省测试技术研究所</w:t>
                  </w: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  </w:t>
                  </w:r>
                </w:p>
              </w:tc>
            </w:tr>
          </w:tbl>
          <w:p w:rsidR="009D262B" w:rsidRPr="009D262B" w:rsidRDefault="009D262B" w:rsidP="009D26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62A82" w:rsidRDefault="00A62A82" w:rsidP="00A62A82">
      <w:pPr>
        <w:ind w:leftChars="-337" w:left="-708"/>
      </w:pPr>
    </w:p>
    <w:p w:rsidR="00A62A82" w:rsidRDefault="00A62A82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A62A82" w:rsidRDefault="00A62A82" w:rsidP="00A62A82">
      <w:pPr>
        <w:ind w:leftChars="-337" w:left="-708"/>
      </w:pPr>
    </w:p>
    <w:p w:rsidR="00A62A82" w:rsidRDefault="00A62A82"/>
    <w:p w:rsidR="00A62A82" w:rsidRDefault="00A62A82"/>
    <w:p w:rsidR="00A62A82" w:rsidRDefault="00A62A82">
      <w:r>
        <w:rPr>
          <w:rFonts w:ascii="宋体" w:eastAsia="宋体" w:hAnsi="宋体" w:cs="宋体" w:hint="eastAsia"/>
          <w:kern w:val="0"/>
          <w:sz w:val="24"/>
          <w:szCs w:val="24"/>
        </w:rPr>
        <w:t>统一报价格式文件：</w:t>
      </w:r>
    </w:p>
    <w:p w:rsidR="00A62A82" w:rsidRDefault="00A62A82"/>
    <w:p w:rsidR="00755EF4" w:rsidRDefault="00755EF4"/>
    <w:p w:rsidR="00755EF4" w:rsidRDefault="00755EF4"/>
    <w:p w:rsidR="00057078" w:rsidRPr="00057078" w:rsidRDefault="00057078" w:rsidP="00057078">
      <w:pPr>
        <w:rPr>
          <w:rFonts w:asciiTheme="minorEastAsia" w:hAnsiTheme="minorEastAsia" w:cs="宋体"/>
          <w:spacing w:val="78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spacing w:val="12"/>
          <w:kern w:val="0"/>
          <w:sz w:val="44"/>
          <w:szCs w:val="44"/>
        </w:rPr>
        <w:t xml:space="preserve">    </w:t>
      </w:r>
      <w:r w:rsidRPr="00057078">
        <w:rPr>
          <w:rFonts w:ascii="黑体" w:eastAsia="黑体" w:hAnsi="黑体" w:cs="宋体" w:hint="eastAsia"/>
          <w:spacing w:val="12"/>
          <w:kern w:val="0"/>
          <w:sz w:val="44"/>
          <w:szCs w:val="44"/>
        </w:rPr>
        <w:t xml:space="preserve"> </w:t>
      </w:r>
      <w:r w:rsidR="00A62A82" w:rsidRPr="00057078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福建省测试技术研究所</w:t>
      </w:r>
    </w:p>
    <w:p w:rsidR="00A62A82" w:rsidRPr="00057078" w:rsidRDefault="00057078" w:rsidP="00057078">
      <w:pPr>
        <w:rPr>
          <w:rFonts w:ascii="黑体" w:eastAsia="黑体" w:hAnsi="黑体"/>
          <w:b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 xml:space="preserve">     </w:t>
      </w:r>
      <w:r w:rsidR="00A62A82" w:rsidRPr="00057078">
        <w:rPr>
          <w:rFonts w:asciiTheme="minorEastAsia" w:hAnsiTheme="minorEastAsia" w:cs="宋体" w:hint="eastAsia"/>
          <w:kern w:val="0"/>
          <w:sz w:val="44"/>
          <w:szCs w:val="44"/>
        </w:rPr>
        <w:t>实验室</w:t>
      </w:r>
      <w:r w:rsidR="002E1EA0">
        <w:rPr>
          <w:rFonts w:asciiTheme="minorEastAsia" w:hAnsiTheme="minorEastAsia" w:cs="宋体" w:hint="eastAsia"/>
          <w:kern w:val="0"/>
          <w:sz w:val="44"/>
          <w:szCs w:val="44"/>
        </w:rPr>
        <w:t>化玻试剂</w:t>
      </w:r>
      <w:r w:rsidR="00A62A82" w:rsidRPr="00057078">
        <w:rPr>
          <w:rFonts w:asciiTheme="minorEastAsia" w:hAnsiTheme="minorEastAsia" w:cs="宋体"/>
          <w:kern w:val="0"/>
          <w:sz w:val="44"/>
          <w:szCs w:val="44"/>
        </w:rPr>
        <w:t>采购服务项目</w:t>
      </w:r>
      <w:r w:rsidR="00A62A82" w:rsidRPr="00057078">
        <w:rPr>
          <w:rFonts w:asciiTheme="minorEastAsia" w:hAnsiTheme="minorEastAsia" w:cs="宋体" w:hint="eastAsia"/>
          <w:kern w:val="0"/>
          <w:sz w:val="44"/>
          <w:szCs w:val="44"/>
        </w:rPr>
        <w:t>报价单</w:t>
      </w:r>
    </w:p>
    <w:p w:rsidR="00A62A82" w:rsidRDefault="008F5306">
      <w:r>
        <w:rPr>
          <w:rFonts w:hint="eastAsia"/>
        </w:rPr>
        <w:t xml:space="preserve">                          </w:t>
      </w:r>
      <w:r>
        <w:rPr>
          <w:rFonts w:hint="eastAsia"/>
        </w:rPr>
        <w:t>（项目编号：</w:t>
      </w:r>
      <w:r>
        <w:rPr>
          <w:rFonts w:hint="eastAsia"/>
        </w:rPr>
        <w:t>FJCS</w:t>
      </w:r>
      <w:r w:rsidR="00610DC7">
        <w:rPr>
          <w:rFonts w:hint="eastAsia"/>
        </w:rPr>
        <w:t>-YWK-</w:t>
      </w:r>
      <w:r>
        <w:rPr>
          <w:rFonts w:hint="eastAsia"/>
        </w:rPr>
        <w:t>20</w:t>
      </w:r>
      <w:r w:rsidR="002D401A">
        <w:rPr>
          <w:rFonts w:hint="eastAsia"/>
        </w:rPr>
        <w:t>21</w:t>
      </w:r>
      <w:r>
        <w:rPr>
          <w:rFonts w:hint="eastAsia"/>
        </w:rPr>
        <w:t>030</w:t>
      </w:r>
      <w:r w:rsidR="00DB297E">
        <w:rPr>
          <w:rFonts w:hint="eastAsia"/>
        </w:rPr>
        <w:t>2</w:t>
      </w:r>
      <w:r>
        <w:rPr>
          <w:rFonts w:hint="eastAsia"/>
        </w:rPr>
        <w:t>）</w:t>
      </w:r>
    </w:p>
    <w:p w:rsidR="00057078" w:rsidRDefault="00057078"/>
    <w:p w:rsidR="00A62A82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公司名称：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</w:t>
      </w:r>
    </w:p>
    <w:p w:rsidR="00A62A82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地址：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</w:p>
    <w:p w:rsidR="00057078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</w:t>
      </w:r>
    </w:p>
    <w:p w:rsidR="00A62A82" w:rsidRPr="008F5306" w:rsidRDefault="00057078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联系人：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</w:t>
      </w:r>
      <w:r w:rsidR="00A62A82" w:rsidRPr="008F5306">
        <w:rPr>
          <w:rFonts w:ascii="华文仿宋" w:eastAsia="华文仿宋" w:hAnsi="华文仿宋" w:hint="eastAsia"/>
          <w:sz w:val="24"/>
          <w:szCs w:val="24"/>
        </w:rPr>
        <w:t>联系电话：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</w:p>
    <w:p w:rsidR="00BA7E5F" w:rsidRDefault="00057078" w:rsidP="00BA7E5F">
      <w:pPr>
        <w:jc w:val="left"/>
        <w:rPr>
          <w:rFonts w:ascii="华文仿宋" w:eastAsia="华文仿宋" w:hAnsi="华文仿宋" w:hint="eastAsia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电子信箱：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</w:t>
      </w:r>
    </w:p>
    <w:p w:rsidR="00BA7E5F" w:rsidRDefault="00BA7E5F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</w:p>
    <w:p w:rsidR="00AC7E12" w:rsidRDefault="00AC7E12" w:rsidP="00AC7E12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  <w:sectPr w:rsidR="00AC7E12" w:rsidSect="005F5A02">
          <w:pgSz w:w="11906" w:h="16838" w:code="9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BA7E5F" w:rsidRDefault="00AC7E12" w:rsidP="00AC7E12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8F530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lastRenderedPageBreak/>
        <w:t>采购服务一览表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320"/>
        <w:gridCol w:w="1843"/>
        <w:gridCol w:w="1417"/>
        <w:gridCol w:w="709"/>
        <w:gridCol w:w="1276"/>
        <w:gridCol w:w="1134"/>
      </w:tblGrid>
      <w:tr w:rsidR="00AC7E12" w:rsidRPr="002E1EA0" w:rsidTr="00BA7E5F">
        <w:trPr>
          <w:cantSplit/>
          <w:trHeight w:val="157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BA7E5F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  <w:r>
              <w:rPr>
                <w:rFonts w:ascii="Times New Roman" w:eastAsia="宋体" w:hAnsi="Times New Roman" w:cs="宋体"/>
                <w:b/>
                <w:kern w:val="0"/>
                <w:sz w:val="28"/>
                <w:szCs w:val="28"/>
              </w:rPr>
              <w:br w:type="page"/>
            </w:r>
            <w:r w:rsidR="00AC7E12">
              <w:br w:type="page"/>
            </w:r>
            <w:r w:rsidR="00AC7E12"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品牌</w:t>
            </w: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433A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(未指定品牌产品以我方现场收合格为准)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spacing w:line="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br/>
              <w:t>(元)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CR药勺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PH电极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E-201-C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PH电极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PHS-3E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PH试纸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0.5-5.0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PH试纸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3.8-5.4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PH试纸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5.4-7.0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白大口瓶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有机比色管架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50ml/12孔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标短漏斗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标短漏斗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7.5cm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瓷坩埚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滴瓶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电子秒表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定量滤纸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定量滤纸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定性滤纸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12.5CM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氟电极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201-1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高型烧杯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红皮头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蝴蝶夹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机械秒表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碱式滴定管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具塞比色管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 6*1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具塞三角烧瓶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刻度滴管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刻度吸管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梨形分液漏斗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具塞刻度试管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牛角药勺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630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天玻（无货）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胖肚吸管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培养皿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气体采样管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6*120mm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北京劳保所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枪头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0.1ml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容量瓶（棕）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三角烧瓶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蜀牛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石英比色皿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石英比色皿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石英比色皿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塑料试管架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塑料试管架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酸式滴定管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弯颈漏斗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无粉手套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无勾镊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12.5CM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一次性滴管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载玻片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化玻等辅助材料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蒸馏器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2.4二硝基苯酚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95%乙醇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正己烷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氨水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丙酮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对苯二甲酸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99% 100g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对硝基苯甲酸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100gCP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二硫化碳（无苯）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GC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二乙三胺五乙酸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高氯酸（国药）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500mlGR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高氯酸（天津）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500mlGR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高锰酸钾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硅藻土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1KG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过硫酸钾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250g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默克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环己烷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甲苯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甲醇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甲醇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默克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酒石酸钾钠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卡尔费休试剂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抗坏血酸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100gAR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邻苯二胺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100gCP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磷酸二氢钾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GR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钼酸铵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偏磷酸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氢氧化钾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三氯甲烷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三乙醇胺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石油醚(60-90)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双氧水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水质药剂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NHP600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碳酸氢钠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无水硫酸钠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无水乙醇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无水乙酸钠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硝酸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硝酸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GR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亚硫酸钠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GR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默克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500g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乙酰丙酮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500ml 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异辛烷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500mlAR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315"/>
        </w:trPr>
        <w:tc>
          <w:tcPr>
            <w:tcW w:w="66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正己烷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默克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7E12" w:rsidRPr="002E1EA0" w:rsidTr="00BA7E5F">
        <w:trPr>
          <w:cantSplit/>
          <w:trHeight w:val="570"/>
        </w:trPr>
        <w:tc>
          <w:tcPr>
            <w:tcW w:w="7225" w:type="dxa"/>
            <w:gridSpan w:val="6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E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7E12" w:rsidRPr="002E1EA0" w:rsidRDefault="00AC7E12" w:rsidP="00AC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1E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C7E12" w:rsidRDefault="00AC7E12" w:rsidP="00AC7E12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</w:p>
    <w:p w:rsidR="002E1EA0" w:rsidRDefault="002E1EA0" w:rsidP="00057078">
      <w:pPr>
        <w:rPr>
          <w:sz w:val="28"/>
          <w:szCs w:val="28"/>
        </w:rPr>
      </w:pPr>
    </w:p>
    <w:p w:rsidR="008F5306" w:rsidRDefault="008F5306" w:rsidP="00057078">
      <w:pPr>
        <w:rPr>
          <w:sz w:val="28"/>
          <w:szCs w:val="28"/>
          <w:u w:val="single"/>
        </w:rPr>
      </w:pPr>
      <w:r w:rsidRPr="008F5306">
        <w:rPr>
          <w:rFonts w:hint="eastAsia"/>
          <w:sz w:val="28"/>
          <w:szCs w:val="28"/>
        </w:rPr>
        <w:t>附：</w:t>
      </w:r>
      <w:r w:rsidRPr="009D262B">
        <w:rPr>
          <w:rFonts w:ascii="Times New Roman" w:eastAsia="宋体" w:hAnsi="Times New Roman" w:cs="宋体" w:hint="eastAsia"/>
          <w:kern w:val="0"/>
          <w:sz w:val="24"/>
          <w:szCs w:val="24"/>
        </w:rPr>
        <w:t>企业法人营业执照三证合一复印件、资质证书复印件（以上文件均需加盖公章）</w:t>
      </w:r>
    </w:p>
    <w:sectPr w:rsidR="008F5306" w:rsidSect="00AC7E1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8C" w:rsidRDefault="00E46D8C" w:rsidP="00C66FF2">
      <w:r>
        <w:separator/>
      </w:r>
    </w:p>
  </w:endnote>
  <w:endnote w:type="continuationSeparator" w:id="0">
    <w:p w:rsidR="00E46D8C" w:rsidRDefault="00E46D8C" w:rsidP="00C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8C" w:rsidRDefault="00E46D8C" w:rsidP="00C66FF2">
      <w:r>
        <w:separator/>
      </w:r>
    </w:p>
  </w:footnote>
  <w:footnote w:type="continuationSeparator" w:id="0">
    <w:p w:rsidR="00E46D8C" w:rsidRDefault="00E46D8C" w:rsidP="00C6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3BC2"/>
    <w:multiLevelType w:val="hybridMultilevel"/>
    <w:tmpl w:val="DD0A445E"/>
    <w:lvl w:ilvl="0" w:tplc="332800C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2B"/>
    <w:rsid w:val="00057078"/>
    <w:rsid w:val="000829E6"/>
    <w:rsid w:val="0015430D"/>
    <w:rsid w:val="00262310"/>
    <w:rsid w:val="002D401A"/>
    <w:rsid w:val="002E1EA0"/>
    <w:rsid w:val="00372D0D"/>
    <w:rsid w:val="00392C9C"/>
    <w:rsid w:val="0056330C"/>
    <w:rsid w:val="005B3497"/>
    <w:rsid w:val="005E7E70"/>
    <w:rsid w:val="005F5A02"/>
    <w:rsid w:val="00610DC7"/>
    <w:rsid w:val="00617BED"/>
    <w:rsid w:val="00627B76"/>
    <w:rsid w:val="006612F7"/>
    <w:rsid w:val="006A240A"/>
    <w:rsid w:val="007433AC"/>
    <w:rsid w:val="00755EF4"/>
    <w:rsid w:val="007F1863"/>
    <w:rsid w:val="00820AF0"/>
    <w:rsid w:val="008D1F55"/>
    <w:rsid w:val="008F5306"/>
    <w:rsid w:val="0090112D"/>
    <w:rsid w:val="009B2B89"/>
    <w:rsid w:val="009B6E08"/>
    <w:rsid w:val="009D262B"/>
    <w:rsid w:val="00A3754B"/>
    <w:rsid w:val="00A62A82"/>
    <w:rsid w:val="00AB2CFB"/>
    <w:rsid w:val="00AB7FED"/>
    <w:rsid w:val="00AC7E12"/>
    <w:rsid w:val="00B11871"/>
    <w:rsid w:val="00BA7E5F"/>
    <w:rsid w:val="00BE5DDE"/>
    <w:rsid w:val="00C34E67"/>
    <w:rsid w:val="00C66FF2"/>
    <w:rsid w:val="00D17385"/>
    <w:rsid w:val="00D52FCE"/>
    <w:rsid w:val="00D9149C"/>
    <w:rsid w:val="00DB297E"/>
    <w:rsid w:val="00DF6EA6"/>
    <w:rsid w:val="00E04F51"/>
    <w:rsid w:val="00E46D8C"/>
    <w:rsid w:val="00EB63B0"/>
    <w:rsid w:val="00F514C5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73F9A"/>
  <w15:docId w15:val="{C781BB7C-D28E-4493-9AB7-8428DA7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66FF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66FF2"/>
    <w:rPr>
      <w:sz w:val="18"/>
      <w:szCs w:val="18"/>
    </w:rPr>
  </w:style>
  <w:style w:type="paragraph" w:styleId="a7">
    <w:name w:val="List Paragraph"/>
    <w:basedOn w:val="a"/>
    <w:uiPriority w:val="34"/>
    <w:qFormat/>
    <w:rsid w:val="00AB2CFB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2E1EA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E1EA0"/>
    <w:rPr>
      <w:color w:val="800080"/>
      <w:u w:val="single"/>
    </w:rPr>
  </w:style>
  <w:style w:type="paragraph" w:customStyle="1" w:styleId="msonormal0">
    <w:name w:val="msonormal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E1EA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E1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E1E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33A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6A6C6-7734-4FA2-AA74-835D7F87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1406</Words>
  <Characters>8018</Characters>
  <Application>Microsoft Office Word</Application>
  <DocSecurity>0</DocSecurity>
  <Lines>66</Lines>
  <Paragraphs>18</Paragraphs>
  <ScaleCrop>false</ScaleCrop>
  <Company>Microsoft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2021-03-15T07:56:00Z</cp:lastPrinted>
  <dcterms:created xsi:type="dcterms:W3CDTF">2021-03-15T08:45:00Z</dcterms:created>
  <dcterms:modified xsi:type="dcterms:W3CDTF">2021-03-15T08:45:00Z</dcterms:modified>
</cp:coreProperties>
</file>